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1354A808" w14:textId="2CCEC9F0" w:rsidR="00921030" w:rsidRPr="003E3FA5"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4D72B8">
        <w:rPr>
          <w:rFonts w:ascii="Times New Roman" w:eastAsia="Times New Roman" w:hAnsi="Times New Roman" w:cs="Times New Roman"/>
          <w:sz w:val="24"/>
          <w:szCs w:val="24"/>
        </w:rPr>
        <w:t>Forrest Smith</w:t>
      </w:r>
      <w:r>
        <w:rPr>
          <w:rFonts w:ascii="Times New Roman" w:eastAsia="Times New Roman" w:hAnsi="Times New Roman" w:cs="Times New Roman"/>
          <w:sz w:val="24"/>
          <w:szCs w:val="24"/>
        </w:rPr>
        <w:t xml:space="preserve"> </w:t>
      </w:r>
      <w:bookmarkEnd w:id="0"/>
    </w:p>
    <w:p w14:paraId="31BEF3EE" w14:textId="77777777" w:rsidR="00921030" w:rsidRPr="003E3FA5" w:rsidRDefault="00921030" w:rsidP="0092103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05A0ADB5"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0034ADBC" w14:textId="77777777" w:rsidR="00921030"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ED2896">
        <w:rPr>
          <w:rFonts w:ascii="Times New Roman" w:eastAsia="Times New Roman" w:hAnsi="Times New Roman" w:cs="Times New Roman"/>
          <w:sz w:val="24"/>
          <w:szCs w:val="24"/>
        </w:rPr>
        <w:t>Ethan Blanchard</w:t>
      </w:r>
    </w:p>
    <w:p w14:paraId="7FF9A284"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Rate Regulation Division</w:t>
      </w:r>
    </w:p>
    <w:p w14:paraId="26DC9C04"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p>
    <w:p w14:paraId="785A0344" w14:textId="09002D53" w:rsidR="00921030" w:rsidRPr="003E3FA5" w:rsidRDefault="00921030" w:rsidP="00921030">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2B51C8">
        <w:rPr>
          <w:rFonts w:ascii="Times New Roman" w:eastAsia="Times New Roman" w:hAnsi="Times New Roman" w:cs="Times New Roman"/>
          <w:sz w:val="24"/>
          <w:szCs w:val="24"/>
        </w:rPr>
        <w:t>October 3</w:t>
      </w:r>
      <w:r w:rsidRPr="003E3FA5">
        <w:rPr>
          <w:rFonts w:ascii="Times New Roman" w:eastAsia="Times New Roman" w:hAnsi="Times New Roman" w:cs="Times New Roman"/>
          <w:sz w:val="24"/>
          <w:szCs w:val="24"/>
        </w:rPr>
        <w:t>, 2022</w:t>
      </w:r>
    </w:p>
    <w:p w14:paraId="303C4249" w14:textId="77777777" w:rsidR="00921030" w:rsidRPr="003E3FA5" w:rsidRDefault="00921030" w:rsidP="00921030">
      <w:pPr>
        <w:spacing w:after="0" w:line="240" w:lineRule="auto"/>
        <w:ind w:left="1440" w:hanging="1440"/>
        <w:jc w:val="both"/>
        <w:rPr>
          <w:rFonts w:ascii="Times New Roman" w:eastAsia="Times New Roman" w:hAnsi="Times New Roman" w:cs="Times New Roman"/>
          <w:sz w:val="24"/>
          <w:szCs w:val="24"/>
        </w:rPr>
      </w:pPr>
    </w:p>
    <w:p w14:paraId="12C7CAA8" w14:textId="77777777" w:rsidR="00921030" w:rsidRPr="003E3FA5" w:rsidRDefault="00921030" w:rsidP="00921030">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Pr>
          <w:rFonts w:ascii="Times New Roman" w:eastAsia="Times New Roman" w:hAnsi="Times New Roman" w:cs="Times New Roman"/>
          <w:bCs/>
          <w:sz w:val="24"/>
          <w:szCs w:val="24"/>
        </w:rPr>
        <w:t xml:space="preserve"> 53660</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 xml:space="preserve">Application of </w:t>
      </w:r>
      <w:bookmarkEnd w:id="2"/>
      <w:r>
        <w:rPr>
          <w:rFonts w:ascii="Times New Roman" w:eastAsia="Times New Roman" w:hAnsi="Times New Roman" w:cs="Times New Roman"/>
          <w:bCs/>
          <w:i/>
          <w:iCs/>
          <w:sz w:val="24"/>
          <w:szCs w:val="24"/>
        </w:rPr>
        <w:t>Clearwater Investments LLC and Knob Hill Water System for Sale, Transfer, or Merger of Facilities and Certificate Rights in Denton County</w:t>
      </w:r>
    </w:p>
    <w:p w14:paraId="4658373B" w14:textId="77777777" w:rsidR="00F0182C" w:rsidRDefault="00F0182C" w:rsidP="00F0182C">
      <w:pPr>
        <w:spacing w:after="0" w:line="240" w:lineRule="auto"/>
        <w:ind w:firstLine="720"/>
        <w:jc w:val="both"/>
        <w:rPr>
          <w:rFonts w:ascii="Times New Roman" w:eastAsia="Times New Roman" w:hAnsi="Times New Roman" w:cs="Times New Roman"/>
          <w:sz w:val="24"/>
          <w:szCs w:val="24"/>
        </w:rPr>
      </w:pPr>
    </w:p>
    <w:p w14:paraId="6895F2DE" w14:textId="77777777" w:rsidR="008F1B3A" w:rsidRDefault="008F1B3A" w:rsidP="0005074F">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May 26,</w:t>
      </w:r>
      <w:r w:rsidRPr="00147C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2022, Clearwater Investments, LLC (Clearwater) and Knob Hill Water System, CCN No. 11414, </w:t>
      </w:r>
      <w:r w:rsidRPr="007E0526">
        <w:rPr>
          <w:rFonts w:ascii="Times New Roman" w:eastAsia="Times New Roman" w:hAnsi="Times New Roman" w:cs="Times New Roman"/>
          <w:sz w:val="24"/>
          <w:szCs w:val="24"/>
        </w:rPr>
        <w:t xml:space="preserve">filed an application for the sale and transfer of facilities and certificate rights in </w:t>
      </w:r>
      <w:r>
        <w:rPr>
          <w:rFonts w:ascii="Times New Roman" w:eastAsia="Times New Roman" w:hAnsi="Times New Roman" w:cs="Times New Roman"/>
          <w:sz w:val="24"/>
          <w:szCs w:val="24"/>
        </w:rPr>
        <w:t>Denton</w:t>
      </w:r>
      <w:r w:rsidRPr="007E0526">
        <w:rPr>
          <w:rFonts w:ascii="Times New Roman" w:eastAsia="Times New Roman" w:hAnsi="Times New Roman" w:cs="Times New Roman"/>
          <w:sz w:val="24"/>
          <w:szCs w:val="24"/>
        </w:rPr>
        <w:t xml:space="preserve"> County under the provisions of Texas Water Code § 13.301 and 16 Texas Administrative Code § 24.239.</w:t>
      </w:r>
    </w:p>
    <w:p w14:paraId="41C7DCC5" w14:textId="303E2FB5" w:rsidR="00376E5F" w:rsidRPr="008953AF" w:rsidRDefault="00376E5F" w:rsidP="0005074F">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947601">
        <w:rPr>
          <w:rFonts w:ascii="Times New Roman" w:eastAsia="Times New Roman" w:hAnsi="Times New Roman" w:cs="Times New Roman"/>
          <w:sz w:val="24"/>
          <w:szCs w:val="24"/>
        </w:rPr>
        <w:t>Clearwater</w:t>
      </w:r>
      <w:r w:rsidR="00BA5465">
        <w:rPr>
          <w:rFonts w:ascii="Times New Roman" w:eastAsia="Times New Roman" w:hAnsi="Times New Roman" w:cs="Times New Roman"/>
          <w:sz w:val="24"/>
          <w:szCs w:val="24"/>
        </w:rPr>
        <w:t xml:space="preserve"> </w:t>
      </w:r>
      <w:r w:rsidRPr="008953A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8953AF" w:rsidRDefault="00376E5F" w:rsidP="0005074F">
      <w:pPr>
        <w:spacing w:after="120" w:line="360" w:lineRule="auto"/>
        <w:jc w:val="both"/>
        <w:rPr>
          <w:rFonts w:ascii="Times New Roman" w:eastAsia="Times New Roman" w:hAnsi="Times New Roman" w:cs="Times New Roman"/>
          <w:b/>
          <w:bCs/>
          <w:sz w:val="24"/>
          <w:szCs w:val="24"/>
        </w:rPr>
      </w:pPr>
      <w:r w:rsidRPr="008953AF">
        <w:rPr>
          <w:rFonts w:ascii="Times New Roman" w:eastAsia="Times New Roman" w:hAnsi="Times New Roman" w:cs="Times New Roman"/>
          <w:b/>
          <w:bCs/>
          <w:i/>
          <w:iCs/>
          <w:sz w:val="24"/>
          <w:szCs w:val="24"/>
        </w:rPr>
        <w:t>Leverage Test</w:t>
      </w:r>
    </w:p>
    <w:p w14:paraId="599F3566" w14:textId="3763F611" w:rsidR="007F1AA8" w:rsidRPr="008953AF" w:rsidRDefault="00133D92" w:rsidP="0005074F">
      <w:pPr>
        <w:spacing w:after="120" w:line="360" w:lineRule="auto"/>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tab/>
        <w:t>My analysis is based on financial statements ending</w:t>
      </w:r>
      <w:r w:rsidR="001E66E2" w:rsidRPr="008953AF">
        <w:rPr>
          <w:rFonts w:ascii="Times New Roman" w:eastAsia="Times New Roman" w:hAnsi="Times New Roman" w:cs="Times New Roman"/>
          <w:sz w:val="24"/>
          <w:szCs w:val="24"/>
        </w:rPr>
        <w:t xml:space="preserve"> December 31</w:t>
      </w:r>
      <w:r w:rsidR="00BA5465" w:rsidRPr="008953AF">
        <w:rPr>
          <w:rFonts w:ascii="Times New Roman" w:eastAsia="Times New Roman" w:hAnsi="Times New Roman" w:cs="Times New Roman"/>
          <w:sz w:val="24"/>
          <w:szCs w:val="24"/>
        </w:rPr>
        <w:t xml:space="preserve">, </w:t>
      </w:r>
      <w:r w:rsidR="00947601" w:rsidRPr="008953AF">
        <w:rPr>
          <w:rFonts w:ascii="Times New Roman" w:eastAsia="Times New Roman" w:hAnsi="Times New Roman" w:cs="Times New Roman"/>
          <w:sz w:val="24"/>
          <w:szCs w:val="24"/>
        </w:rPr>
        <w:t>2020</w:t>
      </w:r>
      <w:r w:rsidRPr="008953AF">
        <w:rPr>
          <w:rFonts w:ascii="Times New Roman" w:eastAsia="Times New Roman" w:hAnsi="Times New Roman" w:cs="Times New Roman"/>
          <w:sz w:val="24"/>
          <w:szCs w:val="24"/>
        </w:rPr>
        <w:t>. These</w:t>
      </w:r>
      <w:r w:rsidR="001E66E2" w:rsidRPr="008953AF">
        <w:rPr>
          <w:rFonts w:ascii="Times New Roman" w:eastAsia="Times New Roman" w:hAnsi="Times New Roman" w:cs="Times New Roman"/>
          <w:sz w:val="24"/>
          <w:szCs w:val="24"/>
        </w:rPr>
        <w:t xml:space="preserve"> internally produced</w:t>
      </w:r>
      <w:r w:rsidRPr="008953AF">
        <w:rPr>
          <w:rFonts w:ascii="Times New Roman" w:eastAsia="Times New Roman" w:hAnsi="Times New Roman" w:cs="Times New Roman"/>
          <w:sz w:val="24"/>
          <w:szCs w:val="24"/>
        </w:rPr>
        <w:t xml:space="preserve"> financial statements </w:t>
      </w:r>
      <w:r w:rsidR="007F1AA8" w:rsidRPr="008953AF">
        <w:rPr>
          <w:rFonts w:ascii="Times New Roman" w:eastAsia="Times New Roman" w:hAnsi="Times New Roman" w:cs="Times New Roman"/>
          <w:sz w:val="24"/>
          <w:szCs w:val="24"/>
        </w:rPr>
        <w:t xml:space="preserve">contain </w:t>
      </w:r>
      <w:r w:rsidR="001E66E2" w:rsidRPr="008953AF">
        <w:rPr>
          <w:rFonts w:ascii="Times New Roman" w:eastAsia="Times New Roman" w:hAnsi="Times New Roman" w:cs="Times New Roman"/>
          <w:sz w:val="24"/>
          <w:szCs w:val="24"/>
        </w:rPr>
        <w:t>five years of projections and three years of historical data</w:t>
      </w:r>
      <w:r w:rsidR="0090298D" w:rsidRPr="008953AF">
        <w:rPr>
          <w:rFonts w:ascii="Times New Roman" w:eastAsia="Times New Roman" w:hAnsi="Times New Roman" w:cs="Times New Roman"/>
          <w:sz w:val="24"/>
          <w:szCs w:val="24"/>
        </w:rPr>
        <w:t>, as required by 16 TAC § 24.11(e)(4).</w:t>
      </w:r>
      <w:r w:rsidR="00947601" w:rsidRPr="008953AF">
        <w:rPr>
          <w:rStyle w:val="FootnoteReference"/>
          <w:rFonts w:ascii="Times New Roman" w:eastAsia="Times New Roman" w:hAnsi="Times New Roman" w:cs="Times New Roman"/>
          <w:sz w:val="24"/>
          <w:szCs w:val="24"/>
        </w:rPr>
        <w:footnoteReference w:id="1"/>
      </w:r>
    </w:p>
    <w:p w14:paraId="20B5D911" w14:textId="7D7EF1D8" w:rsidR="00133D92" w:rsidRPr="008953AF" w:rsidRDefault="00133D92" w:rsidP="0005074F">
      <w:pPr>
        <w:spacing w:after="120" w:line="360" w:lineRule="auto"/>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tab/>
        <w:t xml:space="preserve">Based upon my review of </w:t>
      </w:r>
      <w:r w:rsidR="00947601" w:rsidRPr="008953AF">
        <w:rPr>
          <w:rFonts w:ascii="Times New Roman" w:eastAsia="Times New Roman" w:hAnsi="Times New Roman" w:cs="Times New Roman"/>
          <w:sz w:val="24"/>
          <w:szCs w:val="24"/>
        </w:rPr>
        <w:t>Clearwater</w:t>
      </w:r>
      <w:r w:rsidRPr="008953AF">
        <w:rPr>
          <w:rFonts w:ascii="Times New Roman" w:eastAsia="Times New Roman" w:hAnsi="Times New Roman" w:cs="Times New Roman"/>
          <w:sz w:val="24"/>
          <w:szCs w:val="24"/>
        </w:rPr>
        <w:t>’s financial statements, I calculate debt</w:t>
      </w:r>
      <w:r w:rsidR="000F7AB2" w:rsidRPr="008953AF">
        <w:rPr>
          <w:rFonts w:ascii="Times New Roman" w:eastAsia="Times New Roman" w:hAnsi="Times New Roman" w:cs="Times New Roman"/>
          <w:sz w:val="24"/>
          <w:szCs w:val="24"/>
        </w:rPr>
        <w:t xml:space="preserve">-to-equity ratio to be </w:t>
      </w:r>
      <w:r w:rsidR="0005104B" w:rsidRPr="008953AF">
        <w:rPr>
          <w:rFonts w:ascii="Times New Roman" w:eastAsia="Times New Roman" w:hAnsi="Times New Roman" w:cs="Times New Roman"/>
          <w:sz w:val="24"/>
          <w:szCs w:val="24"/>
        </w:rPr>
        <w:t>0</w:t>
      </w:r>
      <w:r w:rsidR="00E2123E" w:rsidRPr="008953AF">
        <w:rPr>
          <w:rFonts w:ascii="Times New Roman" w:eastAsia="Times New Roman" w:hAnsi="Times New Roman" w:cs="Times New Roman"/>
          <w:sz w:val="24"/>
          <w:szCs w:val="24"/>
        </w:rPr>
        <w:t>.</w:t>
      </w:r>
      <w:r w:rsidR="008953AF" w:rsidRPr="008953AF">
        <w:rPr>
          <w:rFonts w:ascii="Times New Roman" w:eastAsia="Times New Roman" w:hAnsi="Times New Roman" w:cs="Times New Roman"/>
          <w:sz w:val="24"/>
          <w:szCs w:val="24"/>
        </w:rPr>
        <w:t>00</w:t>
      </w:r>
      <w:r w:rsidR="00BA5465" w:rsidRPr="008953AF">
        <w:rPr>
          <w:rFonts w:ascii="Times New Roman" w:eastAsia="Times New Roman" w:hAnsi="Times New Roman" w:cs="Times New Roman"/>
          <w:sz w:val="24"/>
          <w:szCs w:val="24"/>
        </w:rPr>
        <w:t>.</w:t>
      </w:r>
      <w:r w:rsidRPr="008953AF">
        <w:rPr>
          <w:rFonts w:ascii="Times New Roman" w:eastAsia="Times New Roman" w:hAnsi="Times New Roman" w:cs="Times New Roman"/>
          <w:sz w:val="24"/>
          <w:szCs w:val="24"/>
        </w:rPr>
        <w:t xml:space="preserve"> The debt</w:t>
      </w:r>
      <w:r w:rsidR="0005104B" w:rsidRPr="008953AF">
        <w:rPr>
          <w:rFonts w:ascii="Times New Roman" w:eastAsia="Times New Roman" w:hAnsi="Times New Roman" w:cs="Times New Roman"/>
          <w:sz w:val="24"/>
          <w:szCs w:val="24"/>
        </w:rPr>
        <w:t xml:space="preserve">-to-equity </w:t>
      </w:r>
      <w:r w:rsidRPr="008953AF">
        <w:rPr>
          <w:rFonts w:ascii="Times New Roman" w:eastAsia="Times New Roman" w:hAnsi="Times New Roman" w:cs="Times New Roman"/>
          <w:sz w:val="24"/>
          <w:szCs w:val="24"/>
        </w:rPr>
        <w:t>ratio is</w:t>
      </w:r>
      <w:r w:rsidR="0005104B" w:rsidRPr="008953AF">
        <w:rPr>
          <w:rFonts w:ascii="Times New Roman" w:eastAsia="Times New Roman" w:hAnsi="Times New Roman" w:cs="Times New Roman"/>
          <w:sz w:val="24"/>
          <w:szCs w:val="24"/>
        </w:rPr>
        <w:t xml:space="preserve"> long-term debt </w:t>
      </w:r>
      <w:r w:rsidRPr="008953AF">
        <w:rPr>
          <w:rFonts w:ascii="Times New Roman" w:eastAsia="Times New Roman" w:hAnsi="Times New Roman" w:cs="Times New Roman"/>
          <w:sz w:val="24"/>
          <w:szCs w:val="24"/>
        </w:rPr>
        <w:t>of $</w:t>
      </w:r>
      <w:r w:rsidR="008953AF" w:rsidRPr="008953AF">
        <w:rPr>
          <w:rFonts w:ascii="Times New Roman" w:eastAsia="Times New Roman" w:hAnsi="Times New Roman" w:cs="Times New Roman"/>
          <w:sz w:val="24"/>
          <w:szCs w:val="24"/>
        </w:rPr>
        <w:t>0</w:t>
      </w:r>
      <w:r w:rsidRPr="008953AF">
        <w:rPr>
          <w:rFonts w:ascii="Times New Roman" w:eastAsia="Times New Roman" w:hAnsi="Times New Roman" w:cs="Times New Roman"/>
          <w:b/>
          <w:bCs/>
          <w:sz w:val="24"/>
          <w:szCs w:val="24"/>
        </w:rPr>
        <w:t xml:space="preserve"> </w:t>
      </w:r>
      <w:r w:rsidRPr="008953AF">
        <w:rPr>
          <w:rFonts w:ascii="Times New Roman" w:eastAsia="Times New Roman" w:hAnsi="Times New Roman" w:cs="Times New Roman"/>
          <w:sz w:val="24"/>
          <w:szCs w:val="24"/>
        </w:rPr>
        <w:t xml:space="preserve">divided by </w:t>
      </w:r>
      <w:r w:rsidR="0005104B" w:rsidRPr="008953AF">
        <w:rPr>
          <w:rFonts w:ascii="Times New Roman" w:eastAsia="Times New Roman" w:hAnsi="Times New Roman" w:cs="Times New Roman"/>
          <w:sz w:val="24"/>
          <w:szCs w:val="24"/>
        </w:rPr>
        <w:t xml:space="preserve">equity of </w:t>
      </w:r>
      <w:r w:rsidRPr="008953AF">
        <w:rPr>
          <w:rFonts w:ascii="Times New Roman" w:eastAsia="Times New Roman" w:hAnsi="Times New Roman" w:cs="Times New Roman"/>
          <w:sz w:val="24"/>
          <w:szCs w:val="24"/>
        </w:rPr>
        <w:t>$</w:t>
      </w:r>
      <w:r w:rsidR="008953AF" w:rsidRPr="008953AF">
        <w:rPr>
          <w:rFonts w:ascii="Times New Roman" w:eastAsia="Times New Roman" w:hAnsi="Times New Roman" w:cs="Times New Roman"/>
          <w:sz w:val="24"/>
          <w:szCs w:val="24"/>
        </w:rPr>
        <w:t>109,300</w:t>
      </w:r>
      <w:r w:rsidRPr="008953AF">
        <w:rPr>
          <w:rFonts w:ascii="Times New Roman" w:eastAsia="Times New Roman" w:hAnsi="Times New Roman" w:cs="Times New Roman"/>
          <w:sz w:val="24"/>
          <w:szCs w:val="24"/>
        </w:rPr>
        <w:t>.</w:t>
      </w:r>
      <w:r w:rsidR="003829B2" w:rsidRPr="008953AF">
        <w:rPr>
          <w:rStyle w:val="FootnoteReference"/>
          <w:rFonts w:ascii="Times New Roman" w:eastAsia="Times New Roman" w:hAnsi="Times New Roman" w:cs="Times New Roman"/>
          <w:sz w:val="24"/>
          <w:szCs w:val="24"/>
        </w:rPr>
        <w:footnoteReference w:id="2"/>
      </w:r>
      <w:r w:rsidRPr="008953AF">
        <w:rPr>
          <w:rFonts w:ascii="Times New Roman" w:eastAsia="Times New Roman" w:hAnsi="Times New Roman" w:cs="Times New Roman"/>
          <w:b/>
          <w:bCs/>
          <w:sz w:val="24"/>
          <w:szCs w:val="24"/>
        </w:rPr>
        <w:t xml:space="preserve"> </w:t>
      </w:r>
      <w:r w:rsidRPr="008953AF">
        <w:rPr>
          <w:rFonts w:ascii="Times New Roman" w:eastAsia="Times New Roman" w:hAnsi="Times New Roman" w:cs="Times New Roman"/>
          <w:sz w:val="24"/>
          <w:szCs w:val="24"/>
        </w:rPr>
        <w:t xml:space="preserve">Because </w:t>
      </w:r>
      <w:r w:rsidRPr="008953AF">
        <w:rPr>
          <w:rFonts w:ascii="Times New Roman" w:eastAsia="Times New Roman" w:hAnsi="Times New Roman" w:cs="Times New Roman"/>
          <w:sz w:val="24"/>
          <w:szCs w:val="24"/>
        </w:rPr>
        <w:lastRenderedPageBreak/>
        <w:t xml:space="preserve">the ratio is </w:t>
      </w:r>
      <w:r w:rsidR="0005104B" w:rsidRPr="008953AF">
        <w:rPr>
          <w:rFonts w:ascii="Times New Roman" w:eastAsia="Times New Roman" w:hAnsi="Times New Roman" w:cs="Times New Roman"/>
          <w:sz w:val="24"/>
          <w:szCs w:val="24"/>
        </w:rPr>
        <w:t>less</w:t>
      </w:r>
      <w:r w:rsidRPr="008953AF">
        <w:rPr>
          <w:rFonts w:ascii="Times New Roman" w:eastAsia="Times New Roman" w:hAnsi="Times New Roman" w:cs="Times New Roman"/>
          <w:sz w:val="24"/>
          <w:szCs w:val="24"/>
        </w:rPr>
        <w:t xml:space="preserve"> than </w:t>
      </w:r>
      <w:r w:rsidR="00052BC8">
        <w:rPr>
          <w:rFonts w:ascii="Times New Roman" w:eastAsia="Times New Roman" w:hAnsi="Times New Roman" w:cs="Times New Roman"/>
          <w:sz w:val="24"/>
          <w:szCs w:val="24"/>
        </w:rPr>
        <w:t>one</w:t>
      </w:r>
      <w:r w:rsidRPr="008953AF">
        <w:rPr>
          <w:rFonts w:ascii="Times New Roman" w:eastAsia="Times New Roman" w:hAnsi="Times New Roman" w:cs="Times New Roman"/>
          <w:sz w:val="24"/>
          <w:szCs w:val="24"/>
        </w:rPr>
        <w:t xml:space="preserve">, I recommend a finding that </w:t>
      </w:r>
      <w:r w:rsidR="00947601" w:rsidRPr="008953AF">
        <w:rPr>
          <w:rFonts w:ascii="Times New Roman" w:eastAsia="Times New Roman" w:hAnsi="Times New Roman" w:cs="Times New Roman"/>
          <w:sz w:val="24"/>
          <w:szCs w:val="24"/>
        </w:rPr>
        <w:t>Clearwater</w:t>
      </w:r>
      <w:r w:rsidRPr="008953AF">
        <w:rPr>
          <w:rFonts w:ascii="Times New Roman" w:eastAsia="Times New Roman" w:hAnsi="Times New Roman" w:cs="Times New Roman"/>
          <w:sz w:val="24"/>
          <w:szCs w:val="24"/>
        </w:rPr>
        <w:t xml:space="preserve"> meets the leverage test specified in 16 TAC </w:t>
      </w:r>
      <w:bookmarkStart w:id="3" w:name="_Hlk59192949"/>
      <w:r w:rsidRPr="008953AF">
        <w:rPr>
          <w:rFonts w:ascii="Times New Roman" w:eastAsia="Times New Roman" w:hAnsi="Times New Roman" w:cs="Times New Roman"/>
          <w:sz w:val="24"/>
          <w:szCs w:val="24"/>
        </w:rPr>
        <w:t>§ 24.11(e)(2)(</w:t>
      </w:r>
      <w:r w:rsidR="0005104B" w:rsidRPr="008953AF">
        <w:rPr>
          <w:rFonts w:ascii="Times New Roman" w:eastAsia="Times New Roman" w:hAnsi="Times New Roman" w:cs="Times New Roman"/>
          <w:sz w:val="24"/>
          <w:szCs w:val="24"/>
        </w:rPr>
        <w:t>A</w:t>
      </w:r>
      <w:r w:rsidRPr="008953AF">
        <w:rPr>
          <w:rFonts w:ascii="Times New Roman" w:eastAsia="Times New Roman" w:hAnsi="Times New Roman" w:cs="Times New Roman"/>
          <w:sz w:val="24"/>
          <w:szCs w:val="24"/>
        </w:rPr>
        <w:t>).</w:t>
      </w:r>
      <w:bookmarkEnd w:id="3"/>
    </w:p>
    <w:p w14:paraId="62695412" w14:textId="3F4B02E2" w:rsidR="00376E5F" w:rsidRPr="008B0F6D" w:rsidRDefault="00376E5F" w:rsidP="0005074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40337E61" w14:textId="77777777" w:rsidR="00133D92" w:rsidRPr="00271131" w:rsidRDefault="00133D92" w:rsidP="0005074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271131">
        <w:rPr>
          <w:rFonts w:ascii="Times New Roman" w:eastAsia="Times New Roman" w:hAnsi="Times New Roman" w:cs="Times New Roman"/>
          <w:sz w:val="24"/>
          <w:szCs w:val="24"/>
        </w:rPr>
        <w:t xml:space="preserve">required by 16 TAC § 24.11(e)(3). </w:t>
      </w:r>
    </w:p>
    <w:p w14:paraId="264A93F3" w14:textId="71E36A3C" w:rsidR="00376E5F" w:rsidRPr="00271131" w:rsidRDefault="00133D92" w:rsidP="0005074F">
      <w:pPr>
        <w:spacing w:after="120" w:line="360" w:lineRule="auto"/>
        <w:jc w:val="both"/>
        <w:rPr>
          <w:rFonts w:ascii="Times New Roman" w:eastAsia="Times New Roman" w:hAnsi="Times New Roman" w:cs="Times New Roman"/>
          <w:sz w:val="24"/>
          <w:szCs w:val="24"/>
        </w:rPr>
      </w:pPr>
      <w:r w:rsidRPr="00271131">
        <w:rPr>
          <w:rFonts w:ascii="Times New Roman" w:eastAsia="Times New Roman" w:hAnsi="Times New Roman" w:cs="Times New Roman"/>
          <w:sz w:val="24"/>
          <w:szCs w:val="24"/>
        </w:rPr>
        <w:tab/>
      </w:r>
      <w:r w:rsidR="00947601" w:rsidRPr="00271131">
        <w:rPr>
          <w:rFonts w:ascii="Times New Roman" w:eastAsia="Times New Roman" w:hAnsi="Times New Roman" w:cs="Times New Roman"/>
          <w:sz w:val="24"/>
          <w:szCs w:val="24"/>
        </w:rPr>
        <w:t>Clearwater</w:t>
      </w:r>
      <w:r w:rsidRPr="00271131">
        <w:rPr>
          <w:rFonts w:ascii="Times New Roman" w:eastAsia="Times New Roman" w:hAnsi="Times New Roman" w:cs="Times New Roman"/>
          <w:sz w:val="24"/>
          <w:szCs w:val="24"/>
        </w:rPr>
        <w:t xml:space="preserve">’s </w:t>
      </w:r>
      <w:r w:rsidR="00E60FB0" w:rsidRPr="00271131">
        <w:rPr>
          <w:rFonts w:ascii="Times New Roman" w:eastAsia="Times New Roman" w:hAnsi="Times New Roman" w:cs="Times New Roman"/>
          <w:sz w:val="24"/>
          <w:szCs w:val="24"/>
        </w:rPr>
        <w:t>financial projections show that there are no projected shortages to cover</w:t>
      </w:r>
      <w:r w:rsidR="008953AF" w:rsidRPr="00271131">
        <w:rPr>
          <w:rStyle w:val="FootnoteReference"/>
          <w:rFonts w:ascii="Times New Roman" w:eastAsia="Times New Roman" w:hAnsi="Times New Roman" w:cs="Times New Roman"/>
          <w:sz w:val="24"/>
          <w:szCs w:val="24"/>
        </w:rPr>
        <w:footnoteReference w:id="3"/>
      </w:r>
      <w:r w:rsidR="008953AF" w:rsidRPr="00271131">
        <w:rPr>
          <w:rFonts w:ascii="Times New Roman" w:eastAsia="Times New Roman" w:hAnsi="Times New Roman" w:cs="Times New Roman"/>
          <w:sz w:val="24"/>
          <w:szCs w:val="24"/>
        </w:rPr>
        <w:t xml:space="preserve"> </w:t>
      </w:r>
      <w:r w:rsidR="00052BC8">
        <w:rPr>
          <w:rFonts w:ascii="Times New Roman" w:eastAsia="Times New Roman" w:hAnsi="Times New Roman" w:cs="Times New Roman"/>
          <w:sz w:val="24"/>
          <w:szCs w:val="24"/>
        </w:rPr>
        <w:t>a</w:t>
      </w:r>
      <w:r w:rsidR="008953AF" w:rsidRPr="00271131">
        <w:rPr>
          <w:rFonts w:ascii="Times New Roman" w:eastAsia="Times New Roman" w:hAnsi="Times New Roman" w:cs="Times New Roman"/>
          <w:sz w:val="24"/>
          <w:szCs w:val="24"/>
        </w:rPr>
        <w:t>nd that there are no capital improvements to be made.</w:t>
      </w:r>
      <w:r w:rsidR="008953AF" w:rsidRPr="00271131">
        <w:rPr>
          <w:rStyle w:val="FootnoteReference"/>
          <w:rFonts w:ascii="Times New Roman" w:eastAsia="Times New Roman" w:hAnsi="Times New Roman" w:cs="Times New Roman"/>
          <w:sz w:val="24"/>
          <w:szCs w:val="24"/>
        </w:rPr>
        <w:footnoteReference w:id="4"/>
      </w:r>
      <w:r w:rsidR="004412BD" w:rsidRPr="00271131">
        <w:rPr>
          <w:rFonts w:ascii="Times New Roman" w:eastAsia="Times New Roman" w:hAnsi="Times New Roman" w:cs="Times New Roman"/>
          <w:sz w:val="24"/>
          <w:szCs w:val="24"/>
        </w:rPr>
        <w:t xml:space="preserve"> Ther</w:t>
      </w:r>
      <w:r w:rsidR="0090298D" w:rsidRPr="00271131">
        <w:rPr>
          <w:rFonts w:ascii="Times New Roman" w:eastAsia="Times New Roman" w:hAnsi="Times New Roman" w:cs="Times New Roman"/>
          <w:sz w:val="24"/>
          <w:szCs w:val="24"/>
        </w:rPr>
        <w:t>e</w:t>
      </w:r>
      <w:r w:rsidR="004412BD" w:rsidRPr="00271131">
        <w:rPr>
          <w:rFonts w:ascii="Times New Roman" w:eastAsia="Times New Roman" w:hAnsi="Times New Roman" w:cs="Times New Roman"/>
          <w:sz w:val="24"/>
          <w:szCs w:val="24"/>
        </w:rPr>
        <w:t xml:space="preserve">fore, I recommend a finding that </w:t>
      </w:r>
      <w:r w:rsidR="00947601" w:rsidRPr="00271131">
        <w:rPr>
          <w:rFonts w:ascii="Times New Roman" w:eastAsia="Times New Roman" w:hAnsi="Times New Roman" w:cs="Times New Roman"/>
          <w:sz w:val="24"/>
          <w:szCs w:val="24"/>
        </w:rPr>
        <w:t>Clearwater</w:t>
      </w:r>
      <w:r w:rsidR="004412BD" w:rsidRPr="00271131">
        <w:rPr>
          <w:rFonts w:ascii="Times New Roman" w:eastAsia="Times New Roman" w:hAnsi="Times New Roman" w:cs="Times New Roman"/>
          <w:sz w:val="24"/>
          <w:szCs w:val="24"/>
        </w:rPr>
        <w:t xml:space="preserve"> meets the operations test specified in 16 TAC § 24.11(e)(3).</w:t>
      </w:r>
    </w:p>
    <w:p w14:paraId="1640854D" w14:textId="5A436B64" w:rsidR="00376E5F" w:rsidRPr="008B0F6D" w:rsidRDefault="00376E5F" w:rsidP="0005074F">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5CAD1645" w14:textId="7D321019" w:rsidR="00376E5F" w:rsidRPr="00376E5F" w:rsidRDefault="00376E5F" w:rsidP="0005074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947601">
        <w:rPr>
          <w:rFonts w:ascii="Times New Roman" w:eastAsia="Times New Roman" w:hAnsi="Times New Roman" w:cs="Times New Roman"/>
          <w:sz w:val="24"/>
          <w:szCs w:val="24"/>
        </w:rPr>
        <w:t>Clearwater</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783D1595" w:rsidR="00372923" w:rsidRPr="00372923" w:rsidRDefault="00133D92" w:rsidP="0005074F">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 before the date of this memorandum and may not reflect any changes in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E0A05" w14:textId="77777777" w:rsidR="00317248" w:rsidRDefault="00317248" w:rsidP="003E3FA5">
      <w:pPr>
        <w:spacing w:after="0" w:line="240" w:lineRule="auto"/>
      </w:pPr>
      <w:r>
        <w:separator/>
      </w:r>
    </w:p>
  </w:endnote>
  <w:endnote w:type="continuationSeparator" w:id="0">
    <w:p w14:paraId="79E32853" w14:textId="77777777" w:rsidR="00317248" w:rsidRDefault="00317248"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3172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31724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6F5C" w14:textId="77777777" w:rsidR="00317248" w:rsidRDefault="00317248" w:rsidP="003E3FA5">
      <w:pPr>
        <w:spacing w:after="0" w:line="240" w:lineRule="auto"/>
      </w:pPr>
      <w:r>
        <w:separator/>
      </w:r>
    </w:p>
  </w:footnote>
  <w:footnote w:type="continuationSeparator" w:id="0">
    <w:p w14:paraId="7819ACF7" w14:textId="77777777" w:rsidR="00317248" w:rsidRDefault="00317248" w:rsidP="003E3FA5">
      <w:pPr>
        <w:spacing w:after="0" w:line="240" w:lineRule="auto"/>
      </w:pPr>
      <w:r>
        <w:continuationSeparator/>
      </w:r>
    </w:p>
  </w:footnote>
  <w:footnote w:id="1">
    <w:p w14:paraId="10E3CE35" w14:textId="450F2A70" w:rsidR="00947601" w:rsidRDefault="00947601" w:rsidP="0005074F">
      <w:pPr>
        <w:pStyle w:val="FootnoteText"/>
        <w:ind w:firstLine="720"/>
        <w:jc w:val="both"/>
      </w:pPr>
      <w:r>
        <w:rPr>
          <w:rStyle w:val="FootnoteReference"/>
        </w:rPr>
        <w:footnoteRef/>
      </w:r>
      <w:r>
        <w:t xml:space="preserve">  Application, at 18 (May 26, 2022).</w:t>
      </w:r>
    </w:p>
  </w:footnote>
  <w:footnote w:id="2">
    <w:p w14:paraId="42827A33" w14:textId="6D29DBE5" w:rsidR="003829B2" w:rsidRDefault="003829B2" w:rsidP="003829B2">
      <w:pPr>
        <w:pStyle w:val="FootnoteText"/>
        <w:ind w:firstLine="720"/>
      </w:pPr>
      <w:r>
        <w:rPr>
          <w:rStyle w:val="FootnoteReference"/>
        </w:rPr>
        <w:footnoteRef/>
      </w:r>
      <w:r>
        <w:t xml:space="preserve">  </w:t>
      </w:r>
      <w:r w:rsidR="008953AF">
        <w:t>Id., at 15.</w:t>
      </w:r>
    </w:p>
  </w:footnote>
  <w:footnote w:id="3">
    <w:p w14:paraId="324621DE" w14:textId="756311F7" w:rsidR="008953AF" w:rsidRPr="008953AF" w:rsidRDefault="008953AF" w:rsidP="008953AF">
      <w:pPr>
        <w:pStyle w:val="FootnoteText"/>
        <w:ind w:firstLine="720"/>
      </w:pPr>
      <w:r>
        <w:rPr>
          <w:rStyle w:val="FootnoteReference"/>
        </w:rPr>
        <w:footnoteRef/>
      </w:r>
      <w:r>
        <w:t xml:space="preserve">  </w:t>
      </w:r>
      <w:r>
        <w:rPr>
          <w:i/>
          <w:iCs/>
        </w:rPr>
        <w:t>Id.</w:t>
      </w:r>
      <w:r>
        <w:t>, at 19.</w:t>
      </w:r>
    </w:p>
  </w:footnote>
  <w:footnote w:id="4">
    <w:p w14:paraId="2F0B766F" w14:textId="0D3868E5" w:rsidR="008953AF" w:rsidRPr="008953AF" w:rsidRDefault="008953AF" w:rsidP="008953AF">
      <w:pPr>
        <w:pStyle w:val="FootnoteText"/>
        <w:ind w:firstLine="720"/>
      </w:pPr>
      <w:r>
        <w:rPr>
          <w:rStyle w:val="FootnoteReference"/>
        </w:rPr>
        <w:footnoteRef/>
      </w:r>
      <w:r>
        <w:t xml:space="preserve">  </w:t>
      </w:r>
      <w:r>
        <w:rPr>
          <w:i/>
          <w:iCs/>
        </w:rPr>
        <w:t>Id.</w:t>
      </w:r>
      <w:r>
        <w:t>, at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8EC4F6D" w:rsidR="00195A79" w:rsidRPr="002E015F" w:rsidRDefault="00363697" w:rsidP="0099083B">
    <w:pPr>
      <w:pStyle w:val="Header"/>
      <w:spacing w:after="240"/>
      <w:jc w:val="right"/>
      <w:rPr>
        <w:b/>
      </w:rPr>
    </w:pPr>
    <w:r w:rsidRPr="002E015F">
      <w:rPr>
        <w:b/>
      </w:rPr>
      <w:t xml:space="preserve">Docket No. </w:t>
    </w:r>
    <w:r w:rsidR="0005074F">
      <w:rPr>
        <w:b/>
      </w:rPr>
      <w:t>53660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4A91"/>
    <w:rsid w:val="00033316"/>
    <w:rsid w:val="00033C17"/>
    <w:rsid w:val="0005074F"/>
    <w:rsid w:val="0005104B"/>
    <w:rsid w:val="00052BC8"/>
    <w:rsid w:val="000E1082"/>
    <w:rsid w:val="000F7AB2"/>
    <w:rsid w:val="00131A85"/>
    <w:rsid w:val="0013261C"/>
    <w:rsid w:val="00133D92"/>
    <w:rsid w:val="00147CE5"/>
    <w:rsid w:val="001D48E4"/>
    <w:rsid w:val="001E125E"/>
    <w:rsid w:val="001E66E2"/>
    <w:rsid w:val="002149AE"/>
    <w:rsid w:val="00256BA8"/>
    <w:rsid w:val="00271131"/>
    <w:rsid w:val="00284379"/>
    <w:rsid w:val="002B0FBD"/>
    <w:rsid w:val="002B51C8"/>
    <w:rsid w:val="002E5A40"/>
    <w:rsid w:val="00317248"/>
    <w:rsid w:val="00330456"/>
    <w:rsid w:val="003572D2"/>
    <w:rsid w:val="003631A0"/>
    <w:rsid w:val="00363697"/>
    <w:rsid w:val="00372923"/>
    <w:rsid w:val="00376E5F"/>
    <w:rsid w:val="003829B2"/>
    <w:rsid w:val="003C1F2C"/>
    <w:rsid w:val="003E3FA5"/>
    <w:rsid w:val="00404581"/>
    <w:rsid w:val="004412BD"/>
    <w:rsid w:val="004D72B8"/>
    <w:rsid w:val="00512787"/>
    <w:rsid w:val="005B244C"/>
    <w:rsid w:val="005C50C8"/>
    <w:rsid w:val="005E707D"/>
    <w:rsid w:val="00617DE4"/>
    <w:rsid w:val="00626658"/>
    <w:rsid w:val="0063274E"/>
    <w:rsid w:val="00635BC4"/>
    <w:rsid w:val="00651413"/>
    <w:rsid w:val="006D0807"/>
    <w:rsid w:val="006E2812"/>
    <w:rsid w:val="006F5466"/>
    <w:rsid w:val="007700A2"/>
    <w:rsid w:val="00790C4D"/>
    <w:rsid w:val="007D0A6F"/>
    <w:rsid w:val="007F1AA8"/>
    <w:rsid w:val="00825E55"/>
    <w:rsid w:val="00891293"/>
    <w:rsid w:val="008953AF"/>
    <w:rsid w:val="008A3313"/>
    <w:rsid w:val="008B0F6D"/>
    <w:rsid w:val="008D2981"/>
    <w:rsid w:val="008F1B3A"/>
    <w:rsid w:val="0090298D"/>
    <w:rsid w:val="00921030"/>
    <w:rsid w:val="00947601"/>
    <w:rsid w:val="00A048F0"/>
    <w:rsid w:val="00A30BB9"/>
    <w:rsid w:val="00A929CD"/>
    <w:rsid w:val="00AE4987"/>
    <w:rsid w:val="00B52332"/>
    <w:rsid w:val="00B56035"/>
    <w:rsid w:val="00B86C37"/>
    <w:rsid w:val="00BA5465"/>
    <w:rsid w:val="00BC5BA2"/>
    <w:rsid w:val="00BD3F9B"/>
    <w:rsid w:val="00C0242A"/>
    <w:rsid w:val="00C16318"/>
    <w:rsid w:val="00C30431"/>
    <w:rsid w:val="00C74679"/>
    <w:rsid w:val="00C90017"/>
    <w:rsid w:val="00CA1BD1"/>
    <w:rsid w:val="00CB6778"/>
    <w:rsid w:val="00CC70A5"/>
    <w:rsid w:val="00D25D0F"/>
    <w:rsid w:val="00D52DC0"/>
    <w:rsid w:val="00D73FFD"/>
    <w:rsid w:val="00D9105A"/>
    <w:rsid w:val="00E12E89"/>
    <w:rsid w:val="00E2123E"/>
    <w:rsid w:val="00E52143"/>
    <w:rsid w:val="00E52985"/>
    <w:rsid w:val="00E60FB0"/>
    <w:rsid w:val="00EE489A"/>
    <w:rsid w:val="00EF2CA2"/>
    <w:rsid w:val="00F0182C"/>
    <w:rsid w:val="00F21E89"/>
    <w:rsid w:val="00F65A84"/>
    <w:rsid w:val="00F81C5D"/>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Forrest Smith</cp:lastModifiedBy>
  <cp:revision>4</cp:revision>
  <dcterms:created xsi:type="dcterms:W3CDTF">2022-10-03T12:53:00Z</dcterms:created>
  <dcterms:modified xsi:type="dcterms:W3CDTF">2022-10-03T14:59:00Z</dcterms:modified>
</cp:coreProperties>
</file>